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4666"/>
        <w:gridCol w:w="1004"/>
        <w:gridCol w:w="283"/>
        <w:gridCol w:w="414"/>
        <w:gridCol w:w="709"/>
        <w:gridCol w:w="709"/>
        <w:gridCol w:w="153"/>
        <w:gridCol w:w="425"/>
        <w:gridCol w:w="425"/>
        <w:gridCol w:w="1265"/>
        <w:gridCol w:w="1134"/>
        <w:gridCol w:w="408"/>
        <w:gridCol w:w="726"/>
        <w:gridCol w:w="1134"/>
        <w:gridCol w:w="1134"/>
        <w:gridCol w:w="294"/>
      </w:tblGrid>
      <w:tr>
        <w:trPr>
          <w:trHeight w:hRule="exact" w:val="277.83"/>
        </w:trPr>
        <w:tc>
          <w:tcPr>
            <w:tcW w:w="709" w:type="dxa"/>
          </w:tcPr>
          <w:p/>
        </w:tc>
        <w:tc>
          <w:tcPr>
            <w:tcW w:w="5670" w:type="dxa"/>
            <w:gridSpan w:val="2"/>
            <w:tcBorders>
</w:tcBorders>
            <w:vMerge w:val="restart"/>
            <w:shd w:val="clear" w:color="#FFFFFF" w:fill="#FFFFFF"/>
            <w:vAlign w:val="top"/>
            <w:tcMar>
              <w:top w:w="0" w:type="dxa"/>
              <w:left w:w="4" w:type="dxa"/>
              <w:bottom w:w="0" w:type="dxa"/>
              <w:right w:w="4" w:type="dxa"/>
            </w:tcMar>
          </w:tcPr>
          <w:p>
            <w:r>
              <w:rPr>
                <w:noProof/>
              </w:rPr>
              <w:drawing>
                <wp:inline distT="0" distB="0" distL="0" distR="0">
                  <wp:extent cx="3600000" cy="36000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11"/>
                          <a:stretch>
                            <a:fillRect/>
                          </a:stretch>
                        </pic:blipFill>
                        <pic:spPr>
                          <a:xfrm>
                            <a:off x="0" y="0"/>
                            <a:ext cx="3600000" cy="360000"/>
                          </a:xfrm>
                          <a:prstGeom prst="rect">
                            <a:avLst/>
                          </a:prstGeom>
                        </pic:spPr>
                      </pic:pic>
                    </a:graphicData>
                  </a:graphic>
                </wp:inline>
              </w:drawing>
            </w: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6520.5" w:type="dxa"/>
            <w:gridSpan w:val="8"/>
            <w:tcBorders>
</w:tcBorders>
            <w:shd w:val="clear" w:color="#000000" w:fill="#FFFFFF"/>
            <w:vAlign w:val="top"/>
            <w:tcMar>
              <w:top w:w="0" w:type="dxa"/>
              <w:left w:w="38" w:type="dxa"/>
              <w:bottom w:w="0" w:type="dxa"/>
              <w:right w:w="38" w:type="dxa"/>
            </w:tcMar>
          </w:tcPr>
          <w:p/>
        </w:tc>
      </w:tr>
      <w:tr>
        <w:trPr>
          <w:trHeight w:hRule="exact" w:val="277.83"/>
        </w:trPr>
        <w:tc>
          <w:tcPr>
            <w:tcW w:w="709" w:type="dxa"/>
          </w:tcPr>
          <w:p/>
        </w:tc>
        <w:tc>
          <w:tcPr>
            <w:tcW w:w="5670" w:type="dxa"/>
            <w:gridSpan w:val="2"/>
            <w:tcBorders>
</w:tcBorders>
            <w:vMerge/>
            <w:shd w:val="clear" w:color="#FFFFFF" w:fill="#FFFFFF"/>
            <w:vAlign w:val="top"/>
            <w:tcMar>
              <w:top w:w="0" w:type="dxa"/>
              <w:left w:w="4" w:type="dxa"/>
              <w:bottom w:w="0" w:type="dxa"/>
              <w:right w:w="4" w:type="dxa"/>
            </w:tcMar>
          </w:tcP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662.97"/>
        </w:trPr>
        <w:tc>
          <w:tcPr>
            <w:tcW w:w="709" w:type="dxa"/>
          </w:tcPr>
          <w:p/>
        </w:tc>
        <w:tc>
          <w:tcPr>
            <w:tcW w:w="5953.5" w:type="dxa"/>
            <w:gridSpan w:val="3"/>
            <w:tcBorders>
</w:tcBorders>
            <w:shd w:val="clear" w:color="#000000" w:fill="#FFFFFF"/>
            <w:vAlign w:val="center"/>
            <w:tcMar>
              <w:top w:w="0" w:type="dxa"/>
              <w:left w:w="38" w:type="dxa"/>
              <w:bottom w:w="0" w:type="dxa"/>
              <w:right w:w="38" w:type="dxa"/>
            </w:tcMar>
          </w:tcPr>
          <w:p>
            <w:pPr>
              <w:jc w:val="left"/>
              <w:spacing w:after="0" w:line="165" w:lineRule="auto"/>
              <w:rPr>
                <w:sz w:val="14"/>
                <w:szCs w:val="14"/>
              </w:rPr>
            </w:pPr>
            <w:r>
              <w:rPr>
                <w:rFonts w:ascii="Arial" w:hAnsi="Arial" w:cs="Arial"/>
                <w:b/>
                <w:color w:val="#000000"/>
                <w:sz w:val="14"/>
                <w:szCs w:val="14"/>
              </w:rPr>
              <w:t> Załącznik nr 2 do Uchwały Nr X/.../2025  Rady Gminy Boleszkowice z dnia 22 maja 2025 r. zmieniająca uchwałę Nr VII/66/2024 Rady Gminy Boleszkowice z dnia 20 grudnia 2025 r. w sprawie uchwalenia Wieloletniej Prognozy Finansowej Gminy Boleszkowice na lata 2025-2032</w:t>
            </w: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416.745"/>
        </w:trPr>
        <w:tc>
          <w:tcPr>
            <w:tcW w:w="709" w:type="dxa"/>
          </w:tcPr>
          <w:p/>
        </w:tc>
        <w:tc>
          <w:tcPr>
            <w:tcW w:w="4666" w:type="dxa"/>
          </w:tcPr>
          <w:p/>
        </w:tc>
        <w:tc>
          <w:tcPr>
            <w:tcW w:w="1004" w:type="dxa"/>
          </w:tcPr>
          <w:p/>
        </w:tc>
        <w:tc>
          <w:tcPr>
            <w:tcW w:w="283" w:type="dxa"/>
          </w:tcPr>
          <w:p/>
        </w:tc>
        <w:tc>
          <w:tcPr>
            <w:tcW w:w="414" w:type="dxa"/>
          </w:tcPr>
          <w:p/>
        </w:tc>
        <w:tc>
          <w:tcPr>
            <w:tcW w:w="709" w:type="dxa"/>
          </w:tcPr>
          <w:p/>
        </w:tc>
        <w:tc>
          <w:tcPr>
            <w:tcW w:w="709" w:type="dxa"/>
          </w:tcPr>
          <w:p/>
        </w:tc>
        <w:tc>
          <w:tcPr>
            <w:tcW w:w="153" w:type="dxa"/>
          </w:tcPr>
          <w:p/>
        </w:tc>
        <w:tc>
          <w:tcPr>
            <w:tcW w:w="850.5" w:type="dxa"/>
            <w:gridSpan w:val="2"/>
            <w:tcBorders>
</w:tcBorders>
            <w:shd w:val="clear" w:color="#000000" w:fill="#FFFFFF"/>
            <w:vAlign w:val="center"/>
            <w:tcMar>
              <w:top w:w="0" w:type="dxa"/>
              <w:left w:w="38" w:type="dxa"/>
              <w:bottom w:w="0" w:type="dxa"/>
              <w:right w:w="38" w:type="dxa"/>
            </w:tcMar>
          </w:tcPr>
          <w:p>
            <w:pPr>
              <w:jc w:val="center"/>
              <w:spacing w:after="0" w:line="120" w:lineRule="auto"/>
              <w:rPr>
                <w:sz w:val="10"/>
                <w:szCs w:val="10"/>
              </w:rPr>
            </w:pPr>
            <w:r>
              <w:rPr>
                <w:rFonts w:ascii="Arial" w:hAnsi="Arial" w:cs="Arial"/>
                <w:color w:val="#000000"/>
                <w:sz w:val="10"/>
                <w:szCs w:val="10"/>
              </w:rPr>
              <w:t> kwoty w zł</w:t>
            </w:r>
          </w:p>
        </w:tc>
        <w:tc>
          <w:tcPr>
            <w:tcW w:w="1265" w:type="dxa"/>
          </w:tcPr>
          <w:p/>
        </w:tc>
        <w:tc>
          <w:tcPr>
            <w:tcW w:w="1134" w:type="dxa"/>
          </w:tcPr>
          <w:p/>
        </w:tc>
        <w:tc>
          <w:tcPr>
            <w:tcW w:w="408" w:type="dxa"/>
          </w:tcPr>
          <w:p/>
        </w:tc>
        <w:tc>
          <w:tcPr>
            <w:tcW w:w="726" w:type="dxa"/>
          </w:tcPr>
          <w:p/>
        </w:tc>
        <w:tc>
          <w:tcPr>
            <w:tcW w:w="1134" w:type="dxa"/>
          </w:tcPr>
          <w:p/>
        </w:tc>
        <w:tc>
          <w:tcPr>
            <w:tcW w:w="1134" w:type="dxa"/>
          </w:tcPr>
          <w:p/>
        </w:tc>
        <w:tc>
          <w:tcPr>
            <w:tcW w:w="294" w:type="dxa"/>
          </w:tcPr>
          <w:p/>
        </w:tc>
      </w:tr>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L.p.</w:t>
            </w:r>
          </w:p>
        </w:tc>
        <w:tc>
          <w:tcPr>
            <w:tcW w:w="4666.3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Nazwa i cel</w:t>
            </w:r>
          </w:p>
        </w:tc>
        <w:tc>
          <w:tcPr>
            <w:tcW w:w="1701"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Jednostka odpowiedzialna lub koordynująca</w:t>
            </w:r>
          </w:p>
        </w:tc>
        <w:tc>
          <w:tcPr>
            <w:tcW w:w="1418.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Okres realizacji</w:t>
            </w:r>
          </w:p>
        </w:tc>
        <w:tc>
          <w:tcPr>
            <w:tcW w:w="1134.3" w:type="dxa"/>
            <w:gridSpan w:val="3"/>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Łączne nakłady finansowe</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2025</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2026</w:t>
            </w:r>
          </w:p>
        </w:tc>
        <w:tc>
          <w:tcPr>
            <w:tcW w:w="1134"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2027</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2028</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zobowiązań</w:t>
            </w:r>
          </w:p>
        </w:tc>
        <w:tc>
          <w:tcPr>
            <w:tcW w:w="294" w:type="dxa"/>
          </w:tcPr>
          <w:p/>
        </w:tc>
      </w:tr>
      <w:tr>
        <w:trPr>
          <w:trHeight w:hRule="exact" w:val="555.6598"/>
        </w:trPr>
        <w:tc>
          <w:tcPr>
            <w:tcW w:w="708.4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666.3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701"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Od</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Do</w:t>
            </w:r>
          </w:p>
        </w:tc>
        <w:tc>
          <w:tcPr>
            <w:tcW w:w="1134.3" w:type="dxa"/>
            <w:gridSpan w:val="3"/>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przedsięwzięcia-ogółem (1.1+1.2+1.3)</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27 242 170,23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16 993 979,32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2 976 824,32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1 504 601,82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21 505 229,78</w:t>
            </w:r>
          </w:p>
        </w:tc>
        <w:tc>
          <w:tcPr>
            <w:tcW w:w="294" w:type="dxa"/>
          </w:tcPr>
          <w:p/>
        </w:tc>
      </w:tr>
      <w:tr>
        <w:trPr>
          <w:trHeight w:hRule="exact" w:val="214.4732"/>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1.a</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2 276 952,73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1 080 135,32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1 169 608,28</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1.b</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24 965 217,50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15 913 844,00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2 947 000,00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1 474 777,50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20 335 621,50</w:t>
            </w:r>
          </w:p>
        </w:tc>
        <w:tc>
          <w:tcPr>
            <w:tcW w:w="294" w:type="dxa"/>
          </w:tcPr>
          <w:p/>
        </w:tc>
      </w:tr>
      <w:tr>
        <w:trPr>
          <w:trHeight w:hRule="exact" w:val="534.492"/>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związane z programami realizowanymi z udziałem środków, o których mowa w art.5 ust.1 pkt 2 i 3 ustawy z dnia 27 sierpnia 2009.r. o finansach publicznych (Dz.U.Nr 157, poz.1240,z późn.zm.), 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4 743 932,00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4 005 662,00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4 005 662,00</w:t>
            </w:r>
          </w:p>
        </w:tc>
        <w:tc>
          <w:tcPr>
            <w:tcW w:w="294" w:type="dxa"/>
          </w:tcPr>
          <w:p/>
        </w:tc>
      </w:tr>
      <w:tr>
        <w:trPr>
          <w:trHeight w:hRule="exact" w:val="214.4729"/>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34"/>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4 743 932,00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4 005 662,00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4 005 662,00</w:t>
            </w:r>
          </w:p>
        </w:tc>
        <w:tc>
          <w:tcPr>
            <w:tcW w:w="294" w:type="dxa"/>
          </w:tcPr>
          <w:p/>
        </w:tc>
      </w:tr>
      <w:tr>
        <w:trPr>
          <w:trHeight w:hRule="exact" w:val="376.7606"/>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kanalizacji sanitarnej w m. Chwarszczany</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3 600 000,00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2 861 730,00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2 861 730,00</w:t>
            </w:r>
          </w:p>
        </w:tc>
        <w:tc>
          <w:tcPr>
            <w:tcW w:w="294" w:type="dxa"/>
          </w:tcPr>
          <w:p/>
        </w:tc>
      </w:tr>
      <w:tr>
        <w:trPr>
          <w:trHeight w:hRule="exact" w:val="692.370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1.1.2.2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Zakup średniego samochodu ratowniczo-gaśniczego dla ratownictwa przeciwpowodziowego i przeciwpożarowego dla OSP Namyślin - Poprawa bezpieczeństwa  terenów nadodrzańskich poprzez zakup średniego samochodu ratowniczo-gasniczego dla OSP Namyślin</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1 143 932,00</w:t>
            </w:r>
          </w:p>
        </w:tc>
        <w:tc>
          <w:tcPr>
            <w:tcW w:w="294" w:type="dxa"/>
          </w:tcPr>
          <w:p/>
        </w:tc>
      </w:tr>
      <w:tr>
        <w:trPr>
          <w:trHeight w:hRule="exact" w:val="214.4734"/>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związane z umowami partnerstwa publiczno-prywatnego, 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5"/>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34"/>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1.2.2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294" w:type="dxa"/>
          </w:tcPr>
          <w:p/>
        </w:tc>
      </w:tr>
      <w:tr>
        <w:trPr>
          <w:trHeight w:hRule="exact" w:val="214.4725"/>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Wydatki na programy, projekty lub zadania pozostałe (inne niż wymienione w pkt 1.1 i 1.2),z tego</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22 498 238,23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12 988 317,32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2 976 824,32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1 504 601,82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17 499 567,78</w:t>
            </w:r>
          </w:p>
        </w:tc>
        <w:tc>
          <w:tcPr>
            <w:tcW w:w="294" w:type="dxa"/>
          </w:tcPr>
          <w:p/>
        </w:tc>
      </w:tr>
      <w:tr>
        <w:trPr>
          <w:trHeight w:hRule="exact" w:val="214.4734"/>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bieżące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2 276 952,73</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1 080 135,32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1 169 608,28</w:t>
            </w:r>
          </w:p>
        </w:tc>
        <w:tc>
          <w:tcPr>
            <w:tcW w:w="294" w:type="dxa"/>
          </w:tcPr>
          <w:p/>
        </w:tc>
      </w:tr>
      <w:tr>
        <w:trPr>
          <w:trHeight w:hRule="exact" w:val="692.3696"/>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Dzierżawa infrastruktury oświetleniowej - czynsz związany z dzierżawieniem części infrastruktury oświetleniowej w celu wykonania planowanej wymiany opraw nieenergooszczędnych na nowe oprawy oświetleniowe LED</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2029</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119 297,28</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29 824,32</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119 297,28</w:t>
            </w:r>
          </w:p>
        </w:tc>
        <w:tc>
          <w:tcPr>
            <w:tcW w:w="294" w:type="dxa"/>
          </w:tcPr>
          <w:p/>
        </w:tc>
      </w:tr>
      <w:tr>
        <w:trPr>
          <w:trHeight w:hRule="exact" w:val="534.4922"/>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1.3.1.2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Gospodarka odpadami komunalnymi-zapewnmienie mieszkańcom odbioru i utylizacji odpadów komunalnych - Gospodarka odpadami kom,unalnymi - odbiór i transport odpadów</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2 157 655,45</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1 050 311,00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1 050 311,00</w:t>
            </w:r>
          </w:p>
        </w:tc>
        <w:tc>
          <w:tcPr>
            <w:tcW w:w="294" w:type="dxa"/>
          </w:tcPr>
          <w:p/>
        </w:tc>
      </w:tr>
      <w:tr>
        <w:trPr>
          <w:trHeight w:hRule="exact" w:val="214.4734"/>
        </w:trPr>
        <w:tc>
          <w:tcPr>
            <w:tcW w:w="708.45"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w:t>
            </w:r>
          </w:p>
        </w:tc>
        <w:tc>
          <w:tcPr>
            <w:tcW w:w="7785.45" w:type="dxa"/>
            <w:gridSpan w:val="6"/>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 wydatki majątkowe</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20 221 285,50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11 908 182,00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2 947 000,00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1 474 777,50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D3D3D3"/>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16 329 959,50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rozbudowa sieci wodociągowej w m , Boleszkowice, Gudzisz</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2027</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3 244 777,50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2 000 000,00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1 244 777,50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3 244 777,50</w:t>
            </w:r>
          </w:p>
        </w:tc>
        <w:tc>
          <w:tcPr>
            <w:tcW w:w="294" w:type="dxa"/>
          </w:tcPr>
          <w:p/>
        </w:tc>
      </w:tr>
      <w:tr>
        <w:trPr>
          <w:trHeight w:hRule="exact" w:val="376.7602"/>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sieci kanalizacji sanitarnej wraz z lokalną oczyszczalią ścieków w miejscowości Namyślin</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7 446 508,00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7 138 882,00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7 138 882,00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1.3.2.3</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Modernizacja infrastruktury wodociągowej na terenie gminy Boleszkowice</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2 000 000,00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1 960 000,00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1 960 000,00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1.3.2.4</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Rekultywacja wysypiska śmieci</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160 000,00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47 000,00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147 000,00</w:t>
            </w:r>
          </w:p>
        </w:tc>
        <w:tc>
          <w:tcPr>
            <w:tcW w:w="294"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1.3.2.5</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Roizbudowa kanalizacji sanitrnej w m. Boleszkowice przy ul. Osadników</w:t>
            </w:r>
          </w:p>
        </w:tc>
        <w:tc>
          <w:tcPr>
            <w:tcW w:w="1701"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2027</w:t>
            </w:r>
          </w:p>
        </w:tc>
        <w:tc>
          <w:tcPr>
            <w:tcW w:w="1134.3"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230 000,00</w:t>
            </w:r>
          </w:p>
        </w:tc>
        <w:tc>
          <w:tcPr>
            <w:tcW w:w="294" w:type="dxa"/>
          </w:tcPr>
          <w:p/>
        </w:tc>
      </w:tr>
      <w:tr>
        <w:trPr>
          <w:trHeight w:hRule="exact" w:val="598.4373"/>
        </w:trPr>
        <w:tc>
          <w:tcPr>
            <w:tcW w:w="709" w:type="dxa"/>
          </w:tcPr>
          <w:p/>
        </w:tc>
        <w:tc>
          <w:tcPr>
            <w:tcW w:w="4666" w:type="dxa"/>
          </w:tcPr>
          <w:p/>
        </w:tc>
        <w:tc>
          <w:tcPr>
            <w:tcW w:w="1004" w:type="dxa"/>
          </w:tcPr>
          <w:p/>
        </w:tc>
        <w:tc>
          <w:tcPr>
            <w:tcW w:w="283" w:type="dxa"/>
          </w:tcPr>
          <w:p/>
        </w:tc>
        <w:tc>
          <w:tcPr>
            <w:tcW w:w="414" w:type="dxa"/>
          </w:tcPr>
          <w:p/>
        </w:tc>
        <w:tc>
          <w:tcPr>
            <w:tcW w:w="709" w:type="dxa"/>
          </w:tcPr>
          <w:p/>
        </w:tc>
        <w:tc>
          <w:tcPr>
            <w:tcW w:w="709" w:type="dxa"/>
          </w:tcPr>
          <w:p/>
        </w:tc>
        <w:tc>
          <w:tcPr>
            <w:tcW w:w="153" w:type="dxa"/>
          </w:tcPr>
          <w:p/>
        </w:tc>
        <w:tc>
          <w:tcPr>
            <w:tcW w:w="425" w:type="dxa"/>
          </w:tcPr>
          <w:p/>
        </w:tc>
        <w:tc>
          <w:tcPr>
            <w:tcW w:w="425" w:type="dxa"/>
          </w:tcPr>
          <w:p/>
        </w:tc>
        <w:tc>
          <w:tcPr>
            <w:tcW w:w="1265" w:type="dxa"/>
          </w:tcPr>
          <w:p/>
        </w:tc>
        <w:tc>
          <w:tcPr>
            <w:tcW w:w="1134" w:type="dxa"/>
          </w:tcPr>
          <w:p/>
        </w:tc>
        <w:tc>
          <w:tcPr>
            <w:tcW w:w="408" w:type="dxa"/>
          </w:tcPr>
          <w:p/>
        </w:tc>
        <w:tc>
          <w:tcPr>
            <w:tcW w:w="3402" w:type="dxa"/>
            <w:gridSpan w:val="4"/>
            <w:tcBorders>
</w:tcBorders>
            <w:shd w:val="clear" w:color="#000000" w:fill="#FFFFFF"/>
            <w:vAlign w:val="top"/>
            <w:tcMar>
              <w:top w:w="0" w:type="dxa"/>
              <w:left w:w="38" w:type="dxa"/>
              <w:bottom w:w="0" w:type="dxa"/>
              <w:right w:w="38" w:type="dxa"/>
            </w:tcMar>
          </w:tcPr>
          <w:p>
            <w:pPr>
              <w:jc w:val="right"/>
              <w:spacing w:after="0" w:line="120" w:lineRule="auto"/>
              <w:rPr>
                <w:sz w:val="10"/>
                <w:szCs w:val="10"/>
              </w:rPr>
            </w:pPr>
            <w:r>
              <w:rPr>
                <w:rFonts w:ascii="Arial" w:hAnsi="Arial" w:cs="Arial"/>
                <w:color w:val="#000000"/>
                <w:sz w:val="10"/>
                <w:szCs w:val="10"/>
              </w:rPr>
              <w:t> Strona 1 z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8"/>
        <w:gridCol w:w="4666"/>
        <w:gridCol w:w="1701"/>
        <w:gridCol w:w="709"/>
        <w:gridCol w:w="709"/>
        <w:gridCol w:w="1134"/>
        <w:gridCol w:w="1134"/>
        <w:gridCol w:w="1134"/>
        <w:gridCol w:w="408"/>
        <w:gridCol w:w="726"/>
        <w:gridCol w:w="1134"/>
        <w:gridCol w:w="1134"/>
        <w:gridCol w:w="408"/>
      </w:tblGrid>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L.p.</w:t>
            </w:r>
          </w:p>
        </w:tc>
        <w:tc>
          <w:tcPr>
            <w:tcW w:w="4666.3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Nazwa i cel</w:t>
            </w:r>
          </w:p>
        </w:tc>
        <w:tc>
          <w:tcPr>
            <w:tcW w:w="1701"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Jednostka odpowiedzialna lub koordynująca</w:t>
            </w:r>
          </w:p>
        </w:tc>
        <w:tc>
          <w:tcPr>
            <w:tcW w:w="1418.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Okres realizacji</w:t>
            </w:r>
          </w:p>
        </w:tc>
        <w:tc>
          <w:tcPr>
            <w:tcW w:w="1134.3"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Łączne nakłady finansowe</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2025</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2026</w:t>
            </w:r>
          </w:p>
        </w:tc>
        <w:tc>
          <w:tcPr>
            <w:tcW w:w="1134"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2027</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2028</w:t>
            </w:r>
          </w:p>
        </w:tc>
        <w:tc>
          <w:tcPr>
            <w:tcW w:w="1134"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Limit zobowiązań</w:t>
            </w:r>
          </w:p>
        </w:tc>
        <w:tc>
          <w:tcPr>
            <w:tcW w:w="408" w:type="dxa"/>
          </w:tcPr>
          <w:p/>
        </w:tc>
      </w:tr>
      <w:tr>
        <w:trPr>
          <w:trHeight w:hRule="exact" w:val="555.66"/>
        </w:trPr>
        <w:tc>
          <w:tcPr>
            <w:tcW w:w="708.4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666.3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701"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Od</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Do</w:t>
            </w:r>
          </w:p>
        </w:tc>
        <w:tc>
          <w:tcPr>
            <w:tcW w:w="1134.3"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1134"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top w:w="17" w:type="dxa"/>
              <w:left w:w="38" w:type="dxa"/>
              <w:bottom w:w="17" w:type="dxa"/>
              <w:right w:w="38" w:type="dxa"/>
            </w:tcMar>
          </w:tcPr>
          <w:p/>
        </w:tc>
        <w:tc>
          <w:tcPr>
            <w:tcW w:w="408" w:type="dxa"/>
          </w:tcPr>
          <w:p/>
        </w:tc>
      </w:tr>
      <w:tr>
        <w:trPr>
          <w:trHeight w:hRule="exact" w:val="376.76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1.3.2.6</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Rozbudowa kanalizacji sanitarnej w m. Gudzisz</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1.3.2.7</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Usuwanie wyrobów zawierajacych azbest z terenu gminy Boleszkowice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1.3.2.8</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Wymiana sieci wodociągowej w m. Chlewice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100 000,00</w:t>
            </w:r>
          </w:p>
        </w:tc>
        <w:tc>
          <w:tcPr>
            <w:tcW w:w="408" w:type="dxa"/>
          </w:tcPr>
          <w:p/>
        </w:tc>
      </w:tr>
      <w:tr>
        <w:trPr>
          <w:trHeight w:hRule="exact" w:val="534.492"/>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1.3.2.9</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Przebudowa nawierzchni i utwardzenie miejsc postojowych na drodze PKP Boleszkowice - zwiększenie bezpieczeństwa dla użytkowników korzystających z dworca PKP Boleszkowice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600 000,00</w:t>
            </w:r>
          </w:p>
        </w:tc>
        <w:tc>
          <w:tcPr>
            <w:tcW w:w="408" w:type="dxa"/>
          </w:tcPr>
          <w:p/>
        </w:tc>
      </w:tr>
      <w:tr>
        <w:trPr>
          <w:trHeight w:hRule="exact" w:val="376.761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1.3.2.10</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Sporządzenie planu ogólnego zagospodarowania przestrzennego gminy przy dofinansowaniu UMWP</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200 000,00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135 300,00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135 300,00</w:t>
            </w:r>
          </w:p>
        </w:tc>
        <w:tc>
          <w:tcPr>
            <w:tcW w:w="408" w:type="dxa"/>
          </w:tcPr>
          <w:p/>
        </w:tc>
      </w:tr>
      <w:tr>
        <w:trPr>
          <w:trHeight w:hRule="exact" w:val="1007.831"/>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1.3.2.11</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Realizacja programu Ciepłe mieszkanie wymiana lub likwidacja źródeł ciepła na paliwo stałe oraz instalacja urzadzeń służących do celów ogrzewania lub przygotowania ciepłej wody, spełniających wymagania przepisów antysmogowych. Realizacja zadania będzie odbywała się poprzez udzielenie dotacji. - Poprawa stanu powietrza ciepłe mieszkanie</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410 000,00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320 000,00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320 000,00</w:t>
            </w:r>
          </w:p>
        </w:tc>
        <w:tc>
          <w:tcPr>
            <w:tcW w:w="408" w:type="dxa"/>
          </w:tcPr>
          <w:p/>
        </w:tc>
      </w:tr>
      <w:tr>
        <w:trPr>
          <w:trHeight w:hRule="exact" w:val="534.4927"/>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1.3.2.12</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Budowa trzech instalacji fotowoltaicznych w celu utworzenia spółdzielni energetycznej w Boleszkowicach - utworzenie spółdzielni energetycznej</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2024</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2026</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450 000,00</w:t>
            </w:r>
          </w:p>
        </w:tc>
        <w:tc>
          <w:tcPr>
            <w:tcW w:w="408" w:type="dxa"/>
          </w:tcPr>
          <w:p/>
        </w:tc>
      </w:tr>
      <w:tr>
        <w:trPr>
          <w:trHeight w:hRule="exact" w:val="376.7606"/>
        </w:trPr>
        <w:tc>
          <w:tcPr>
            <w:tcW w:w="708.4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1.3.2.13</w:t>
            </w:r>
          </w:p>
        </w:tc>
        <w:tc>
          <w:tcPr>
            <w:tcW w:w="4666.3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left"/>
              <w:spacing w:after="0" w:line="165" w:lineRule="auto"/>
              <w:rPr>
                <w:sz w:val="14"/>
                <w:szCs w:val="14"/>
              </w:rPr>
            </w:pPr>
            <w:r>
              <w:rPr>
                <w:rFonts w:ascii="Arial" w:hAnsi="Arial" w:cs="Arial"/>
                <w:color w:val="#000000"/>
                <w:sz w:val="14"/>
                <w:szCs w:val="14"/>
              </w:rPr>
              <w:t> Modernizacja lokalnej oczyszczalni ścieków w Boleszkowicach wraz z zakupem wozu asenizacyjnego do obsługi punktu zlewnego</w:t>
            </w:r>
          </w:p>
        </w:tc>
        <w:tc>
          <w:tcPr>
            <w:tcW w:w="1701"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URZĄD GMINY BOLESZKOWICE</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2022</w:t>
            </w:r>
          </w:p>
        </w:tc>
        <w:tc>
          <w:tcPr>
            <w:tcW w:w="709.05"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center"/>
              <w:spacing w:after="0" w:line="165" w:lineRule="auto"/>
              <w:rPr>
                <w:sz w:val="14"/>
                <w:szCs w:val="14"/>
              </w:rPr>
            </w:pPr>
            <w:r>
              <w:rPr>
                <w:rFonts w:ascii="Arial" w:hAnsi="Arial" w:cs="Arial"/>
                <w:color w:val="#000000"/>
                <w:sz w:val="14"/>
                <w:szCs w:val="14"/>
              </w:rPr>
              <w:t> 2025</w:t>
            </w:r>
          </w:p>
        </w:tc>
        <w:tc>
          <w:tcPr>
            <w:tcW w:w="1134.3"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5 040 000,00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1 764 000,00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0,00</w:t>
            </w:r>
          </w:p>
        </w:tc>
        <w:tc>
          <w:tcPr>
            <w:tcW w:w="1134" w:type="dxa"/>
            <w:tcBorders>
              <w:top w:val="single" w:sz="8" w:space="0" w:color="#000000"/>
              <w:left w:val="single" w:sz="8" w:space="0" w:color="#000000"/>
              <w:bottom w:val="single" w:sz="8" w:space="0" w:color="#000000"/>
              <w:right w:val="single" w:sz="8" w:space="0" w:color="#000000"/>
            </w:tcBorders>
            <w:shd w:val="clear" w:color="#000000" w:fill="#FFFFFF"/>
            <w:vAlign w:val="center"/>
            <w:tcMar>
              <w:top w:w="17" w:type="dxa"/>
              <w:left w:w="38" w:type="dxa"/>
              <w:bottom w:w="17" w:type="dxa"/>
              <w:right w:w="38" w:type="dxa"/>
            </w:tcMar>
          </w:tcPr>
          <w:p>
            <w:pPr>
              <w:jc w:val="right"/>
              <w:spacing w:after="0" w:line="150" w:lineRule="auto"/>
              <w:rPr>
                <w:sz w:val="12"/>
                <w:szCs w:val="12"/>
              </w:rPr>
            </w:pPr>
            <w:r>
              <w:rPr>
                <w:rFonts w:ascii="Arial" w:hAnsi="Arial" w:cs="Arial"/>
                <w:color w:val="#000000"/>
                <w:sz w:val="12"/>
                <w:szCs w:val="12"/>
              </w:rPr>
              <w:t> 1 764 000,00</w:t>
            </w:r>
          </w:p>
        </w:tc>
        <w:tc>
          <w:tcPr>
            <w:tcW w:w="408" w:type="dxa"/>
          </w:tcPr>
          <w:p/>
        </w:tc>
      </w:tr>
      <w:tr>
        <w:trPr>
          <w:trHeight w:hRule="exact" w:val="4929.939"/>
        </w:trPr>
        <w:tc>
          <w:tcPr>
            <w:tcW w:w="708" w:type="dxa"/>
          </w:tcPr>
          <w:p/>
        </w:tc>
        <w:tc>
          <w:tcPr>
            <w:tcW w:w="4666" w:type="dxa"/>
          </w:tcPr>
          <w:p/>
        </w:tc>
        <w:tc>
          <w:tcPr>
            <w:tcW w:w="1701" w:type="dxa"/>
          </w:tcPr>
          <w:p/>
        </w:tc>
        <w:tc>
          <w:tcPr>
            <w:tcW w:w="709" w:type="dxa"/>
          </w:tcPr>
          <w:p/>
        </w:tc>
        <w:tc>
          <w:tcPr>
            <w:tcW w:w="709" w:type="dxa"/>
          </w:tcPr>
          <w:p/>
        </w:tc>
        <w:tc>
          <w:tcPr>
            <w:tcW w:w="1134" w:type="dxa"/>
          </w:tcPr>
          <w:p/>
        </w:tc>
        <w:tc>
          <w:tcPr>
            <w:tcW w:w="1134" w:type="dxa"/>
          </w:tcPr>
          <w:p/>
        </w:tc>
        <w:tc>
          <w:tcPr>
            <w:tcW w:w="1134" w:type="dxa"/>
          </w:tcPr>
          <w:p/>
        </w:tc>
        <w:tc>
          <w:tcPr>
            <w:tcW w:w="408" w:type="dxa"/>
          </w:tcPr>
          <w:p/>
        </w:tc>
        <w:tc>
          <w:tcPr>
            <w:tcW w:w="726" w:type="dxa"/>
          </w:tcPr>
          <w:p/>
        </w:tc>
        <w:tc>
          <w:tcPr>
            <w:tcW w:w="1134" w:type="dxa"/>
          </w:tcPr>
          <w:p/>
        </w:tc>
        <w:tc>
          <w:tcPr>
            <w:tcW w:w="1134" w:type="dxa"/>
          </w:tcPr>
          <w:p/>
        </w:tc>
        <w:tc>
          <w:tcPr>
            <w:tcW w:w="408" w:type="dxa"/>
          </w:tcPr>
          <w:p/>
        </w:tc>
      </w:tr>
      <w:tr>
        <w:trPr>
          <w:trHeight w:hRule="exact" w:val="555.6598"/>
        </w:trPr>
        <w:tc>
          <w:tcPr>
            <w:tcW w:w="708" w:type="dxa"/>
          </w:tcPr>
          <w:p/>
        </w:tc>
        <w:tc>
          <w:tcPr>
            <w:tcW w:w="4666" w:type="dxa"/>
          </w:tcPr>
          <w:p/>
        </w:tc>
        <w:tc>
          <w:tcPr>
            <w:tcW w:w="1701" w:type="dxa"/>
          </w:tcPr>
          <w:p/>
        </w:tc>
        <w:tc>
          <w:tcPr>
            <w:tcW w:w="709" w:type="dxa"/>
          </w:tcPr>
          <w:p/>
        </w:tc>
        <w:tc>
          <w:tcPr>
            <w:tcW w:w="709" w:type="dxa"/>
          </w:tcPr>
          <w:p/>
        </w:tc>
        <w:tc>
          <w:tcPr>
            <w:tcW w:w="1134" w:type="dxa"/>
          </w:tcPr>
          <w:p/>
        </w:tc>
        <w:tc>
          <w:tcPr>
            <w:tcW w:w="1134" w:type="dxa"/>
          </w:tcPr>
          <w:p/>
        </w:tc>
        <w:tc>
          <w:tcPr>
            <w:tcW w:w="1134" w:type="dxa"/>
          </w:tcPr>
          <w:p/>
        </w:tc>
        <w:tc>
          <w:tcPr>
            <w:tcW w:w="408" w:type="dxa"/>
          </w:tcPr>
          <w:p/>
        </w:tc>
        <w:tc>
          <w:tcPr>
            <w:tcW w:w="3402" w:type="dxa"/>
            <w:gridSpan w:val="4"/>
            <w:tcBorders>
</w:tcBorders>
            <w:shd w:val="clear" w:color="#000000" w:fill="#FFFFFF"/>
            <w:vAlign w:val="top"/>
            <w:tcMar>
              <w:top w:w="0" w:type="dxa"/>
              <w:left w:w="38" w:type="dxa"/>
              <w:bottom w:w="0" w:type="dxa"/>
              <w:right w:w="38" w:type="dxa"/>
            </w:tcMar>
          </w:tcPr>
          <w:p>
            <w:pPr>
              <w:jc w:val="right"/>
              <w:spacing w:after="0" w:line="120" w:lineRule="auto"/>
              <w:rPr>
                <w:sz w:val="10"/>
                <w:szCs w:val="10"/>
              </w:rPr>
            </w:pPr>
            <w:r>
              <w:rPr>
                <w:rFonts w:ascii="Arial" w:hAnsi="Arial" w:cs="Arial"/>
                <w:color w:val="#000000"/>
                <w:sz w:val="10"/>
                <w:szCs w:val="10"/>
              </w:rPr>
              <w:t> Strona 2 z 2</w:t>
            </w:r>
          </w:p>
        </w:tc>
      </w:tr>
    </w:tbl>
    <w:p/>
    <w:sectPr>
      <w:pgSz w:w="16840" w:h="11907"/>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 Id="rId11" Type="http://schemas.openxmlformats.org/officeDocument/2006/relationships/image" Target="media/image1.png"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2009-06-17T07:33:19Z</dcterms:created>
  <dc:title>WPFPrzedsięwzięcia v1 (FastRep)</dc:title>
  <dc:creator>FastReport.NET</dc:creator>
</cp:coreProperties>
</file>