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5CD8A" w14:textId="77777777" w:rsidR="00F856F4" w:rsidRPr="00F856F4" w:rsidRDefault="00F856F4" w:rsidP="00F856F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32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F856F4">
        <w:rPr>
          <w:rFonts w:ascii="Arial" w:hAnsi="Arial" w:cs="Arial"/>
          <w:b/>
          <w:bCs/>
          <w:kern w:val="0"/>
          <w:sz w:val="20"/>
          <w:szCs w:val="20"/>
        </w:rPr>
        <w:t>Objaśnienia przyjętych wartości do Wieloletniej Prognozy Finansowej Gminy Boleszkowice na lata 2026-2036</w:t>
      </w:r>
    </w:p>
    <w:p w14:paraId="56DAEE04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Zgodnie ze zmianami w budżecie na dzień 30 września 2026 r., dokonano następujących zmian w Wieloletniej Prognozie Finansowej Gminy Boleszkowice:</w:t>
      </w:r>
    </w:p>
    <w:p w14:paraId="27E9E2DA" w14:textId="77777777" w:rsidR="00F856F4" w:rsidRPr="00F856F4" w:rsidRDefault="00F856F4" w:rsidP="00F856F4">
      <w:pPr>
        <w:numPr>
          <w:ilvl w:val="0"/>
          <w:numId w:val="1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Dochody ogółem zwiększono o 268 858,07 zł, z czego dochody bieżące zwiększono o 266 217,48 zł, a dochody majątkowe zwiększono o 2 640,59 zł.</w:t>
      </w:r>
    </w:p>
    <w:p w14:paraId="52B07F0A" w14:textId="77777777" w:rsidR="00F856F4" w:rsidRPr="00F856F4" w:rsidRDefault="00F856F4" w:rsidP="00F856F4">
      <w:pPr>
        <w:numPr>
          <w:ilvl w:val="0"/>
          <w:numId w:val="1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Wydatki ogółem zmniejszono o 3 507 067,02 zł, z czego wydatki bieżące zwiększono o 426 841,96 zł, a wydatki majątkowe zmniejszono o 3 933 908,98 zł.</w:t>
      </w:r>
    </w:p>
    <w:p w14:paraId="5806852A" w14:textId="77777777" w:rsidR="00F856F4" w:rsidRPr="00F856F4" w:rsidRDefault="00F856F4" w:rsidP="00F856F4">
      <w:pPr>
        <w:numPr>
          <w:ilvl w:val="0"/>
          <w:numId w:val="1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Wynik budżetu jest deficytowy i po zmianach wynosi -3 378 557,58 zł.</w:t>
      </w:r>
    </w:p>
    <w:p w14:paraId="0D2F70A1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Szczegółowe informacje na temat zmian w zakresie dochodów, wydatków i wyniku budżetu w roku budżetowym przedstawiono w tabeli poniżej.</w:t>
      </w:r>
    </w:p>
    <w:p w14:paraId="70009831" w14:textId="77777777" w:rsidR="00F856F4" w:rsidRPr="00F856F4" w:rsidRDefault="00F856F4" w:rsidP="00F856F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  <w:r w:rsidRPr="00F856F4">
        <w:rPr>
          <w:rFonts w:ascii="Arial" w:hAnsi="Arial" w:cs="Arial"/>
          <w:b/>
          <w:bCs/>
          <w:kern w:val="0"/>
          <w:sz w:val="20"/>
          <w:szCs w:val="20"/>
        </w:rPr>
        <w:t>Zmiany w dochodach i wydatkach w 2026 roku</w:t>
      </w:r>
    </w:p>
    <w:tbl>
      <w:tblPr>
        <w:tblW w:w="0" w:type="auto"/>
        <w:tblInd w:w="-5" w:type="dxa"/>
        <w:tblLayout w:type="fixed"/>
        <w:tblCellMar>
          <w:top w:w="19" w:type="dxa"/>
          <w:left w:w="68" w:type="dxa"/>
          <w:bottom w:w="19" w:type="dxa"/>
          <w:right w:w="68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00"/>
        <w:gridCol w:w="1800"/>
      </w:tblGrid>
      <w:tr w:rsidR="00F856F4" w:rsidRPr="00F856F4" w14:paraId="337C156A" w14:textId="77777777"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897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Wyszczególnienie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3349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Przed zmianą [zł]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5E2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Zmiana [zł]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91FA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Po zmianie [zł]</w:t>
            </w:r>
          </w:p>
        </w:tc>
      </w:tr>
      <w:tr w:rsidR="00F856F4" w:rsidRPr="00F856F4" w14:paraId="0DECBFCF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4512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Dochody ogółem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9AE7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27 526 936,50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882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+268 858,07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14A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27 795 794,57</w:t>
            </w:r>
          </w:p>
        </w:tc>
      </w:tr>
      <w:tr w:rsidR="00F856F4" w:rsidRPr="00F856F4" w14:paraId="2232F71A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0EB6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Dochody bieżące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43E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21 703 704,11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719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+266 217,48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BAE7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21 969 921,59</w:t>
            </w:r>
          </w:p>
        </w:tc>
      </w:tr>
      <w:tr w:rsidR="00F856F4" w:rsidRPr="00F856F4" w14:paraId="7A2B61E6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695A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Dotacje bieżące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716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2 227 218,88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F9E6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+232 017,48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D93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2 459 236,36</w:t>
            </w:r>
          </w:p>
        </w:tc>
      </w:tr>
      <w:tr w:rsidR="00F856F4" w:rsidRPr="00F856F4" w14:paraId="26477058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B5C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Pozostałe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8669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8 349 138,23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5D9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+34 200,00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FFF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8 383 338,23</w:t>
            </w:r>
          </w:p>
        </w:tc>
      </w:tr>
      <w:tr w:rsidR="00F856F4" w:rsidRPr="00F856F4" w14:paraId="068C88C8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94D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Dochody majątkowe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EBA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5 823 232,39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574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+2 640,59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20A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5 825 872,98</w:t>
            </w:r>
          </w:p>
        </w:tc>
      </w:tr>
      <w:tr w:rsidR="00F856F4" w:rsidRPr="00F856F4" w14:paraId="32213060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24C4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Sprzedaż majątku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515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750 000,00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494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+13 500,00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BD47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763 500,00</w:t>
            </w:r>
          </w:p>
        </w:tc>
      </w:tr>
      <w:tr w:rsidR="00F856F4" w:rsidRPr="00F856F4" w14:paraId="4D168230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95C9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Wydatki ogółem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21BA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34 681 419,17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B104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-3 507 067,02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9B52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31 174 352,15</w:t>
            </w:r>
          </w:p>
        </w:tc>
      </w:tr>
      <w:tr w:rsidR="00F856F4" w:rsidRPr="00F856F4" w14:paraId="1C4D5273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450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Wydatki bieżące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E6D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21 766 163,52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1F06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+426 841,96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FD3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22 193 005,48</w:t>
            </w:r>
          </w:p>
        </w:tc>
      </w:tr>
      <w:tr w:rsidR="00F856F4" w:rsidRPr="00F856F4" w14:paraId="190497D8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C338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Wynagrodzenia i pochodne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E131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12 785 589,20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015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+53 901,85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4CD7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12 839 491,05</w:t>
            </w:r>
          </w:p>
        </w:tc>
      </w:tr>
      <w:tr w:rsidR="00F856F4" w:rsidRPr="00F856F4" w14:paraId="35139CA5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F4B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Pozostałe wydatki bieżące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C422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8 840 574,32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4582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+372 940,11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816A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9 213 514,43</w:t>
            </w:r>
          </w:p>
        </w:tc>
      </w:tr>
      <w:tr w:rsidR="00F856F4" w:rsidRPr="00F856F4" w14:paraId="2A2FC849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3750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Wydatki majątkowe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DBF2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12 915 255,65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58B42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-3 933 908,98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5398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8 981 346,67</w:t>
            </w:r>
          </w:p>
        </w:tc>
      </w:tr>
      <w:tr w:rsidR="00F856F4" w:rsidRPr="00F856F4" w14:paraId="24E7F79D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58B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Wynik budżetu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F15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-7 154 482,67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C8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+3 775 925,09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320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-3 378 557,58</w:t>
            </w:r>
          </w:p>
        </w:tc>
      </w:tr>
    </w:tbl>
    <w:p w14:paraId="7213022C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Źródło: opracowanie własne.</w:t>
      </w:r>
    </w:p>
    <w:p w14:paraId="5E473E67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W Wieloletniej Prognozie Finansowej Gminy Boleszkowice:</w:t>
      </w:r>
    </w:p>
    <w:p w14:paraId="6E31EF53" w14:textId="77777777" w:rsidR="00F856F4" w:rsidRPr="00F856F4" w:rsidRDefault="00F856F4" w:rsidP="00F856F4">
      <w:pPr>
        <w:numPr>
          <w:ilvl w:val="0"/>
          <w:numId w:val="2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Przychody ogółem w roku budżetowym zmniejszono o 3 775 925,09 zł, w tym przychody z tytułu kredytów, pożyczek lub emisji papierów wartościowych zmniejszono o 3 775 925,09 zł.</w:t>
      </w:r>
    </w:p>
    <w:p w14:paraId="0CB7314D" w14:textId="77777777" w:rsidR="00F856F4" w:rsidRPr="00F856F4" w:rsidRDefault="00F856F4" w:rsidP="00F856F4">
      <w:pPr>
        <w:numPr>
          <w:ilvl w:val="0"/>
          <w:numId w:val="2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Rozchody ogółem w roku budżetowym nie uległy zmianie.</w:t>
      </w:r>
    </w:p>
    <w:p w14:paraId="6AEB0B0C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Szczegółowe informacje na temat zmian w zakresie przychodów i rozchodów w roku budżetowym przedstawiono w tabeli poniżej.</w:t>
      </w:r>
    </w:p>
    <w:p w14:paraId="5613AE6A" w14:textId="77777777" w:rsidR="00F856F4" w:rsidRPr="00F856F4" w:rsidRDefault="00F856F4" w:rsidP="00F856F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  <w:r w:rsidRPr="00F856F4">
        <w:rPr>
          <w:rFonts w:ascii="Arial" w:hAnsi="Arial" w:cs="Arial"/>
          <w:b/>
          <w:bCs/>
          <w:kern w:val="0"/>
          <w:sz w:val="20"/>
          <w:szCs w:val="20"/>
        </w:rPr>
        <w:t>Zmiany w przychodach i rozchodach na 2026 rok.</w:t>
      </w:r>
    </w:p>
    <w:tbl>
      <w:tblPr>
        <w:tblW w:w="0" w:type="auto"/>
        <w:tblInd w:w="-5" w:type="dxa"/>
        <w:tblLayout w:type="fixed"/>
        <w:tblCellMar>
          <w:top w:w="19" w:type="dxa"/>
          <w:left w:w="68" w:type="dxa"/>
          <w:bottom w:w="19" w:type="dxa"/>
          <w:right w:w="68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00"/>
        <w:gridCol w:w="1800"/>
      </w:tblGrid>
      <w:tr w:rsidR="00F856F4" w:rsidRPr="00F856F4" w14:paraId="0CEB2D74" w14:textId="77777777"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F77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Wyszczególnienie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8936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Przed zmianą [zł]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AA5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Zmiana [zł]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CD2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Po zmianie [zł]</w:t>
            </w:r>
          </w:p>
        </w:tc>
      </w:tr>
      <w:tr w:rsidR="00F856F4" w:rsidRPr="00F856F4" w14:paraId="792CD275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730A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Przychody budżetu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0D7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7 870 424,54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5747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-3 775 925,09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50A7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4 094 499,45</w:t>
            </w:r>
          </w:p>
        </w:tc>
      </w:tr>
      <w:tr w:rsidR="00F856F4" w:rsidRPr="00F856F4" w14:paraId="220F9827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D0C2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Kredyty, pożyczki, emisja papierów wartościowych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7ED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4 275 925,09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BCB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-3 775 925,09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05C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500 000,00</w:t>
            </w:r>
          </w:p>
        </w:tc>
      </w:tr>
    </w:tbl>
    <w:p w14:paraId="4B4CDE3E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Źródło: opracowanie własne.</w:t>
      </w:r>
    </w:p>
    <w:p w14:paraId="5EF6D4B3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lastRenderedPageBreak/>
        <w:t>Od 2027 nie dokonywano zmian w zakresie planowanych przychodów.</w:t>
      </w:r>
    </w:p>
    <w:p w14:paraId="3E4AD19C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Od 2027 dokonano zmian w zakresie planowanych rozchodów. Zmiany przedstawiono w tabeli poniżej.</w:t>
      </w:r>
    </w:p>
    <w:p w14:paraId="57582DCE" w14:textId="77777777" w:rsidR="00F856F4" w:rsidRPr="00F856F4" w:rsidRDefault="00F856F4" w:rsidP="00F856F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  <w:r w:rsidRPr="00F856F4">
        <w:rPr>
          <w:rFonts w:ascii="Arial" w:hAnsi="Arial" w:cs="Arial"/>
          <w:b/>
          <w:bCs/>
          <w:kern w:val="0"/>
          <w:sz w:val="20"/>
          <w:szCs w:val="20"/>
        </w:rPr>
        <w:t>Zmiany w rozchodach zwrotnych w okresie prognozy WPF</w:t>
      </w:r>
    </w:p>
    <w:tbl>
      <w:tblPr>
        <w:tblW w:w="0" w:type="auto"/>
        <w:tblInd w:w="-5" w:type="dxa"/>
        <w:tblLayout w:type="fixed"/>
        <w:tblCellMar>
          <w:top w:w="19" w:type="dxa"/>
          <w:left w:w="68" w:type="dxa"/>
          <w:bottom w:w="19" w:type="dxa"/>
          <w:right w:w="68" w:type="dxa"/>
        </w:tblCellMar>
        <w:tblLook w:val="0000" w:firstRow="0" w:lastRow="0" w:firstColumn="0" w:lastColumn="0" w:noHBand="0" w:noVBand="0"/>
      </w:tblPr>
      <w:tblGrid>
        <w:gridCol w:w="847"/>
        <w:gridCol w:w="2118"/>
        <w:gridCol w:w="2118"/>
        <w:gridCol w:w="2117"/>
      </w:tblGrid>
      <w:tr w:rsidR="00F856F4" w:rsidRPr="00F856F4" w14:paraId="44DB1B50" w14:textId="77777777">
        <w:trPr>
          <w:tblHeader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136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Rok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088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Przed zmianą [zł]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AA44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Zmiana [zł]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D084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Po zmianie [zł]</w:t>
            </w:r>
          </w:p>
        </w:tc>
      </w:tr>
      <w:tr w:rsidR="00F856F4" w:rsidRPr="00F856F4" w14:paraId="1FFDBA02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B138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2027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6D10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3 745 934,94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CFB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-3 099 999,94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3FBA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645 935,00</w:t>
            </w:r>
          </w:p>
        </w:tc>
      </w:tr>
      <w:tr w:rsidR="00F856F4" w:rsidRPr="00F856F4" w14:paraId="682A1A41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A6B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2028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432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545 935,00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11B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+100 000,00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8E2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645 935,00</w:t>
            </w:r>
          </w:p>
        </w:tc>
      </w:tr>
      <w:tr w:rsidR="00F856F4" w:rsidRPr="00F856F4" w14:paraId="20B27255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1B8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2029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39A6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544 952,01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4C9A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+100 000,00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8BB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644 952,01</w:t>
            </w:r>
          </w:p>
        </w:tc>
      </w:tr>
      <w:tr w:rsidR="00F856F4" w:rsidRPr="00F856F4" w14:paraId="7D7A24AB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E1D8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19C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234 072,00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38A8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AB66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234 072,00</w:t>
            </w:r>
          </w:p>
        </w:tc>
      </w:tr>
      <w:tr w:rsidR="00F856F4" w:rsidRPr="00F856F4" w14:paraId="72CB347E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B24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095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200 000,00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3DF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-100 000,00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23B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100 000,00</w:t>
            </w:r>
          </w:p>
        </w:tc>
      </w:tr>
      <w:tr w:rsidR="00F856F4" w:rsidRPr="00F856F4" w14:paraId="6CA5D275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CB5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D042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200 000,00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383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-200 000,00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41D9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0,00</w:t>
            </w:r>
          </w:p>
        </w:tc>
      </w:tr>
      <w:tr w:rsidR="00F856F4" w:rsidRPr="00F856F4" w14:paraId="070C84B3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CE49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A30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200 000,00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367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-200 000,00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452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0,00</w:t>
            </w:r>
          </w:p>
        </w:tc>
      </w:tr>
      <w:tr w:rsidR="00F856F4" w:rsidRPr="00F856F4" w14:paraId="246A8F02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8718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62D0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100 000,00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76CA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-100 000,00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0A30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0,00</w:t>
            </w:r>
          </w:p>
        </w:tc>
      </w:tr>
      <w:tr w:rsidR="00F856F4" w:rsidRPr="00F856F4" w14:paraId="773EED88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02B7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E8C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100 000,00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8841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-100 000,00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7597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0,00</w:t>
            </w:r>
          </w:p>
        </w:tc>
      </w:tr>
      <w:tr w:rsidR="00F856F4" w:rsidRPr="00F856F4" w14:paraId="584A9BAE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65C7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685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175 925,15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DFA0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-175 925,15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D22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0,00</w:t>
            </w:r>
          </w:p>
        </w:tc>
      </w:tr>
    </w:tbl>
    <w:p w14:paraId="414336CE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Źródło: opracowanie własne.</w:t>
      </w:r>
    </w:p>
    <w:p w14:paraId="4A9A5972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Zmiany w Wieloletniej Prognozie Finansowej Gminy Boleszkowice na lata 2026-2036 spowodowały modyfikacje w kształtowaniu się relacji z art. 243 ustawy o finansach publicznych. Szczegóły zaprezentowano w tabeli poniżej.</w:t>
      </w:r>
    </w:p>
    <w:p w14:paraId="1E6657BD" w14:textId="77777777" w:rsidR="00F856F4" w:rsidRPr="00F856F4" w:rsidRDefault="00F856F4" w:rsidP="00F856F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  <w:r w:rsidRPr="00F856F4">
        <w:rPr>
          <w:rFonts w:ascii="Arial" w:hAnsi="Arial" w:cs="Arial"/>
          <w:b/>
          <w:bCs/>
          <w:kern w:val="0"/>
          <w:sz w:val="20"/>
          <w:szCs w:val="20"/>
        </w:rPr>
        <w:t>Kształtowanie się relacji z art. 243 ust. 1 ustawy o finansach publicznych</w:t>
      </w:r>
    </w:p>
    <w:tbl>
      <w:tblPr>
        <w:tblW w:w="0" w:type="auto"/>
        <w:tblInd w:w="-5" w:type="dxa"/>
        <w:tblLayout w:type="fixed"/>
        <w:tblCellMar>
          <w:top w:w="19" w:type="dxa"/>
          <w:left w:w="68" w:type="dxa"/>
          <w:bottom w:w="19" w:type="dxa"/>
          <w:right w:w="68" w:type="dxa"/>
        </w:tblCellMar>
        <w:tblLook w:val="0000" w:firstRow="0" w:lastRow="0" w:firstColumn="0" w:lastColumn="0" w:noHBand="0" w:noVBand="0"/>
      </w:tblPr>
      <w:tblGrid>
        <w:gridCol w:w="655"/>
        <w:gridCol w:w="1309"/>
        <w:gridCol w:w="1309"/>
        <w:gridCol w:w="1309"/>
        <w:gridCol w:w="1309"/>
        <w:gridCol w:w="1309"/>
      </w:tblGrid>
      <w:tr w:rsidR="00F856F4" w:rsidRPr="00F856F4" w14:paraId="1B15DFA3" w14:textId="77777777">
        <w:trPr>
          <w:tblHeader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A1A9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Rok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AC7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Obsługa zadłużenia (fakt. i plan. po </w:t>
            </w:r>
            <w:proofErr w:type="spellStart"/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wyłączeniach</w:t>
            </w:r>
            <w:proofErr w:type="spellEnd"/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CD96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Maksymalna obsługa zadłużenia (wg planu po III kwartale)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EAB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Zachowanie relacji z art. 243 (w oparciu o plan po III kwartale)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D4E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Maksymalna obsługa zadłużenia (wg wykonania)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F8A9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Zachowanie relacji z art. 243 (w oparciu o wykonanie)</w:t>
            </w:r>
          </w:p>
        </w:tc>
      </w:tr>
      <w:tr w:rsidR="00F856F4" w:rsidRPr="00F856F4" w14:paraId="5B86DC84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3D04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2026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A34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0,93%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0EE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7,95%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1A98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041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10,38%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11F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F856F4" w:rsidRPr="00F856F4" w14:paraId="640B35CF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AA57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2027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A52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3,00%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589A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8,32%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F5D2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4617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10,75%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C12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F856F4" w:rsidRPr="00F856F4" w14:paraId="7FB78910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1FF7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2028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116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2,39%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ACD6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8,70%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5B98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A57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11,13%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B35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F856F4" w:rsidRPr="00F856F4" w14:paraId="0F0405FD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374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2029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8361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2,16%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E420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7,38%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68D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789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9,82%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F29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F856F4" w:rsidRPr="00F856F4" w14:paraId="2DF98F35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75C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30D4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1,72%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42C8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1,90%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6BF9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8C0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4,33%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BA6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F856F4" w:rsidRPr="00F856F4" w14:paraId="51F1EADF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A7EA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96A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0,46%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161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1,58%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F60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92312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4,01%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34E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F856F4" w:rsidRPr="00F856F4" w14:paraId="0801BD73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3C2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DD5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F9A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2,95%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20D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8EE8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5,38%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4534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F856F4" w:rsidRPr="00F856F4" w14:paraId="1043AE08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AB49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E66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252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3,97%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907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525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3,97%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714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F856F4" w:rsidRPr="00F856F4" w14:paraId="444F7CCB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2394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A0D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E55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4,74%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6CF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AC20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4,74%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B4AC0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F856F4" w:rsidRPr="00F856F4" w14:paraId="34082CB7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57C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4E6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AE92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4,88%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B045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17C9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4,88%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561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  <w:tr w:rsidR="00F856F4" w:rsidRPr="00F856F4" w14:paraId="05040FB9" w14:textId="7777777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3954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2036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24FB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0,00%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8660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5,05%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FED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7D5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5,05%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362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TAK</w:t>
            </w:r>
          </w:p>
        </w:tc>
      </w:tr>
    </w:tbl>
    <w:p w14:paraId="07DBDD5D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Źródło: Opracowanie własne.</w:t>
      </w:r>
    </w:p>
    <w:p w14:paraId="18C7F242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Dane w tabeli powyżej wskazują, że w całym okresie prognozy Gmina Boleszkowice spełnia relację, o której mowa w art. 243 ust. 1 ustawy o finansach publicznych. Spełnienie dotyczy zarówno relacji obliczonej na podstawie planu na dzień 30.09.2025 r. jak i w oparciu o dane z wykonania budżetu.</w:t>
      </w:r>
    </w:p>
    <w:p w14:paraId="49A58DAA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Zmiana Wieloletniej Prognozy Finansowej Gminy Boleszkowice obejmuje również zmiany w załączniku nr 2, które szczegółowo opisano poniżej.</w:t>
      </w:r>
    </w:p>
    <w:p w14:paraId="6F389BBB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Dokonano zmian w zakresie następujących przedsięwzięć:</w:t>
      </w:r>
    </w:p>
    <w:p w14:paraId="69BB4121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1. Termomodernizacja budynku Urzędu Gminy Boleszkowice – zmiana w przedsięwzięciu obejmuje m.in.:</w:t>
      </w:r>
    </w:p>
    <w:p w14:paraId="4FBE73EB" w14:textId="77777777" w:rsidR="00F856F4" w:rsidRPr="00F856F4" w:rsidRDefault="00F856F4" w:rsidP="00F856F4">
      <w:pPr>
        <w:numPr>
          <w:ilvl w:val="2"/>
          <w:numId w:val="1"/>
        </w:numPr>
        <w:tabs>
          <w:tab w:val="left" w:pos="21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zmniejszenie limitu wydatków na realizację zadania w roku budżetowym o kwotę 3 775 925,09 zł;</w:t>
      </w:r>
    </w:p>
    <w:p w14:paraId="5871CB8C" w14:textId="77777777" w:rsidR="00F856F4" w:rsidRPr="00F856F4" w:rsidRDefault="00F856F4" w:rsidP="00F856F4">
      <w:pPr>
        <w:numPr>
          <w:ilvl w:val="2"/>
          <w:numId w:val="1"/>
        </w:numPr>
        <w:tabs>
          <w:tab w:val="left" w:pos="21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lastRenderedPageBreak/>
        <w:t>zwiększenie limitu wydatków na realizację zadania w latach 2027-2028 o kwotę 3 775 925,09 zł;</w:t>
      </w:r>
    </w:p>
    <w:p w14:paraId="209A9726" w14:textId="77777777" w:rsidR="00F856F4" w:rsidRPr="00F856F4" w:rsidRDefault="00F856F4" w:rsidP="00F856F4">
      <w:pPr>
        <w:numPr>
          <w:ilvl w:val="2"/>
          <w:numId w:val="1"/>
        </w:numPr>
        <w:tabs>
          <w:tab w:val="left" w:pos="21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wydłużenie horyzontu czasowego przedsięwzięcia do roku 2028.</w:t>
      </w:r>
    </w:p>
    <w:p w14:paraId="65A545C0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Zmiany wprowadzone w wykazie wieloletnich przedsięwzięć nie spowodowały zmiany horyzontu czasowego załącznika nr 2 WPF.</w:t>
      </w:r>
    </w:p>
    <w:p w14:paraId="1071B264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Zmiany wprowadzone w wykazie wieloletnich przedsięwzięć wpłynęły na zmianę pozycji 10.1.2 WPF, co przedstawiono w tabeli poniżej.</w:t>
      </w:r>
    </w:p>
    <w:p w14:paraId="74D55F6C" w14:textId="77777777" w:rsidR="00F856F4" w:rsidRPr="00F856F4" w:rsidRDefault="00F856F4" w:rsidP="00F856F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60"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  <w:r w:rsidRPr="00F856F4">
        <w:rPr>
          <w:rFonts w:ascii="Arial" w:hAnsi="Arial" w:cs="Arial"/>
          <w:b/>
          <w:bCs/>
          <w:kern w:val="0"/>
          <w:sz w:val="20"/>
          <w:szCs w:val="20"/>
        </w:rPr>
        <w:t>Zmiany w wydatkach majątkowych objętych limitem z art. 226 ust. 3 pkt 4</w:t>
      </w:r>
    </w:p>
    <w:tbl>
      <w:tblPr>
        <w:tblW w:w="0" w:type="auto"/>
        <w:tblInd w:w="-5" w:type="dxa"/>
        <w:tblLayout w:type="fixed"/>
        <w:tblCellMar>
          <w:top w:w="19" w:type="dxa"/>
          <w:left w:w="68" w:type="dxa"/>
          <w:bottom w:w="19" w:type="dxa"/>
          <w:right w:w="68" w:type="dxa"/>
        </w:tblCellMar>
        <w:tblLook w:val="0000" w:firstRow="0" w:lastRow="0" w:firstColumn="0" w:lastColumn="0" w:noHBand="0" w:noVBand="0"/>
      </w:tblPr>
      <w:tblGrid>
        <w:gridCol w:w="847"/>
        <w:gridCol w:w="2118"/>
        <w:gridCol w:w="2118"/>
        <w:gridCol w:w="2117"/>
      </w:tblGrid>
      <w:tr w:rsidR="00F856F4" w:rsidRPr="00F856F4" w14:paraId="46194AFA" w14:textId="77777777">
        <w:trPr>
          <w:tblHeader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9BCF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Rok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2B7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Przed zmianą [zł]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94BB3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Zmiana [zł]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0472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Po zmianie [zł]</w:t>
            </w:r>
          </w:p>
        </w:tc>
      </w:tr>
      <w:tr w:rsidR="00F856F4" w:rsidRPr="00F856F4" w14:paraId="3D81E67E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3030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735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10 836 367,40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722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-3 775 925,09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EA36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7 060 442,31</w:t>
            </w:r>
          </w:p>
        </w:tc>
      </w:tr>
      <w:tr w:rsidR="00F856F4" w:rsidRPr="00F856F4" w14:paraId="7EE1ED73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578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2027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85A6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562 364,40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31CE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+3 575 925,09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9975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4 138 289,49</w:t>
            </w:r>
          </w:p>
        </w:tc>
      </w:tr>
      <w:tr w:rsidR="00F856F4" w:rsidRPr="00F856F4" w14:paraId="6DE0B23A" w14:textId="77777777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4DB6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2028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1F8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10 898,40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354C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+200 000,00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6C9D" w14:textId="77777777" w:rsidR="00F856F4" w:rsidRPr="00F856F4" w:rsidRDefault="00F856F4" w:rsidP="00F856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856F4">
              <w:rPr>
                <w:rFonts w:ascii="Arial" w:hAnsi="Arial" w:cs="Arial"/>
                <w:kern w:val="0"/>
                <w:sz w:val="20"/>
                <w:szCs w:val="20"/>
              </w:rPr>
              <w:t>210 898,40</w:t>
            </w:r>
          </w:p>
        </w:tc>
      </w:tr>
    </w:tbl>
    <w:p w14:paraId="60224A30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Źródło: opracowanie własne.</w:t>
      </w:r>
    </w:p>
    <w:p w14:paraId="1E84FBAA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Wartości wykazane w pozostałych pozycjach WPF, stanowią informacje uzupełniające względem pozycji opisanych powyżej. Zostały przedstawione w WPF zgodnie z obowiązującym stanem faktycznym, na podstawie zawartych umów i porozumień.</w:t>
      </w:r>
    </w:p>
    <w:p w14:paraId="6EB775A2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F856F4">
        <w:rPr>
          <w:rFonts w:ascii="Arial" w:hAnsi="Arial" w:cs="Arial"/>
          <w:kern w:val="0"/>
          <w:sz w:val="20"/>
          <w:szCs w:val="20"/>
        </w:rPr>
        <w:t>Pełen zakres zmian obrazują załączniki nr 1 i 2 do niniejszej uchwały.</w:t>
      </w:r>
    </w:p>
    <w:p w14:paraId="0F28AFA1" w14:textId="77777777" w:rsidR="00F856F4" w:rsidRPr="00F856F4" w:rsidRDefault="00F856F4" w:rsidP="00F856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0CEC8AC4" w14:textId="77777777" w:rsidR="008C7690" w:rsidRDefault="008C7690"/>
    <w:sectPr w:rsidR="008C7690" w:rsidSect="00F856F4">
      <w:pgSz w:w="11906" w:h="16838"/>
      <w:pgMar w:top="1440" w:right="1800" w:bottom="1440" w:left="1800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10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lowerLetter"/>
      <w:lvlText w:val="%3."/>
      <w:lvlJc w:val="left"/>
      <w:pPr>
        <w:ind w:left="2126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lowerLetter"/>
      <w:lvlText w:val="%4."/>
      <w:lvlJc w:val="left"/>
      <w:pPr>
        <w:ind w:left="2486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lowerLetter"/>
      <w:lvlText w:val="%5."/>
      <w:lvlJc w:val="left"/>
      <w:pPr>
        <w:ind w:left="2846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lowerLetter"/>
      <w:lvlText w:val="%6."/>
      <w:lvlJc w:val="left"/>
      <w:pPr>
        <w:ind w:left="3206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lowerLetter"/>
      <w:lvlText w:val="%7."/>
      <w:lvlJc w:val="left"/>
      <w:pPr>
        <w:ind w:left="3566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lowerLetter"/>
      <w:lvlText w:val="%8."/>
      <w:lvlJc w:val="left"/>
      <w:pPr>
        <w:ind w:left="3926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lowerLetter"/>
      <w:lvlText w:val="%9."/>
      <w:lvlJc w:val="left"/>
      <w:pPr>
        <w:ind w:left="4286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10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14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ind w:left="17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."/>
      <w:lvlJc w:val="left"/>
      <w:pPr>
        <w:ind w:left="214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."/>
      <w:lvlJc w:val="left"/>
      <w:pPr>
        <w:ind w:left="25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."/>
      <w:lvlJc w:val="left"/>
      <w:pPr>
        <w:ind w:left="28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."/>
      <w:lvlJc w:val="left"/>
      <w:pPr>
        <w:ind w:left="32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."/>
      <w:lvlJc w:val="left"/>
      <w:pPr>
        <w:ind w:left="35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num w:numId="1" w16cid:durableId="720321683">
    <w:abstractNumId w:val="0"/>
  </w:num>
  <w:num w:numId="2" w16cid:durableId="405759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6F4"/>
    <w:rsid w:val="00791758"/>
    <w:rsid w:val="007C43B6"/>
    <w:rsid w:val="00885673"/>
    <w:rsid w:val="008C7690"/>
    <w:rsid w:val="00C64E97"/>
    <w:rsid w:val="00F8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00C92"/>
  <w15:chartTrackingRefBased/>
  <w15:docId w15:val="{ACAC7A7C-162E-45D4-B18D-4817192C2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5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5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56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5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56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5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5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5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5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5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5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5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56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56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56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56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56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56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5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5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5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5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5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56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56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56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5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56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56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Jakubowska</dc:creator>
  <cp:keywords/>
  <dc:description/>
  <cp:lastModifiedBy>Barbara Jakubowska</cp:lastModifiedBy>
  <cp:revision>1</cp:revision>
  <dcterms:created xsi:type="dcterms:W3CDTF">2026-09-15T09:14:00Z</dcterms:created>
  <dcterms:modified xsi:type="dcterms:W3CDTF">2026-09-15T09:14:00Z</dcterms:modified>
</cp:coreProperties>
</file>